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e2e043e3f44b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8086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DOM ZA STARIJE OSOBE LOVRET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2.454.512,69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2.524.053,92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2.281.165,17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2.511.542,17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173.347,52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12.511,75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179.626,27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77.806,30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179.626,27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77.806,30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6.278,75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65.294,55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1039,9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Dom za starije osobe Lovret ostvario je Prihode poslovanja u iznosu od 2.524.053,92 EUR koji su za 2,8 % veći u odnosu na isto razdoblje prethodne godine. Najveće povećanje prihoda je na Izvoru 43 - Prihodi za posebne namjene koji su veći za 21 % u odnosu na ostvarene prihode iz prethodne godine, odnosno za 204.238,70 EUR, dok su Prihodi iz nadležnog proračuna manji u odnosu na prethodnu godinu.</w:t>
      </w:r>
    </w:p>
    <w:p>
      <w:pPr>
        <w:jc w:val="both"/>
      </w:pPr>
      <w:r>
        <w:t xml:space="preserve">Rashodi poslovanja iznose 2.511.542,17 EUR te su za 10,1% veći (za iznos od 230.377,00 EUR) u odnosu na isto razdoblje prethodne godine, prvenstveno radi porasta rashoda za zaposlene od 11,9 % (iznos od 217.244,42 EUR) dok porast materijalnih rashoda iznosi 3,1 %.</w:t>
      </w:r>
    </w:p>
    <w:p>
      <w:pPr>
        <w:jc w:val="both"/>
      </w:pPr>
      <w:r>
        <w:t xml:space="preserve">Rashodi za nabavu nefinancijske imovine iznose 77.806,30 EUR.</w:t>
      </w:r>
    </w:p>
    <w:p>
      <w:pPr>
        <w:jc w:val="both"/>
      </w:pPr>
      <w:r>
        <w:t xml:space="preserve">Manjak prihoda i primitaka u tekućoj godini iznosi 65.294,55 EUR što prebijanjem sa prenesenim viškom od 555,62 EUR iz prethodne godine, dovodi do iznosa manjka za pokriće u sljedećem razdoblju od 64.738,93 EUR.</w:t>
      </w:r>
    </w:p>
    <w:p>
      <w:pPr>
        <w:jc w:val="both"/>
      </w:pPr>
      <w:r>
        <w:t xml:space="preserve">Dio ostvarenog manjka je tzv. metodološki manjak u iznosu od 20.374,97 € koji je nastao propuštenom uplatom nadležnog Ministarstva za mjesec studeni, a za koje je dospijeće bilo u prosincu 2025. godine. Riječ je o uslugama smještaja i pomoći u kući za korisnike Doma koji su smješteni ili primaju usluge sukladno Rješenju/Uputnici Hrvatskog zavoda za socijalni rad. To je utjecalo na smanjenu realizaciju planiranih Prihoda za posebne namjene.</w:t>
      </w:r>
    </w:p>
    <w:p>
      <w:pPr>
        <w:jc w:val="both"/>
      </w:pPr>
      <w:r>
        <w:t xml:space="preserve">Preostali manjak prihoda i primitaka za pokriće u sljedećem razdoblju u iznosu od 44.363,96 EUR rezultat je veće realizacije rashoda za zaposlene u odnosu na planirane prihode.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18.550,75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Pomoći proračunskim korisnicima iz proračuna koji im nije nadležan u 2025. godini iznose 18.550,75 EUR te su za 19,7% veće u odnosu na prethodnu godinu. Riječ je o Božićnom poklon bonu Grada Splita u iznosu od 2.000,00 € te pomoći Grada Splita u obliku medicinske opreme – 7 električnih kreveta za njegu korisnika u vrijednosti od 12.836,25 €. Preostali iznos od 3.714,50 € odnosi se na pomoć grada Kaštela kojim se financirala izrada i ugradnja komarica u sobe korisnika na 4. katu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971.077,41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1.175.316,11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Ostali nespomenuti prihodi odnose se na prihode ostvarene od usluga smještaja korisnika i usluga pomoći u kući te su veći za 21 % u odnosu na ostvarene prihode iz prethodne godine, odnosno za 204.238,70 €. Rezultat je to ponajviše povećanja cijena usluga za korisnike koje socijalne usluge koriste putem ugovora, a koje je stupilo na snagu 01.09.2024. godine.</w:t>
      </w:r>
    </w:p>
    <w:p>
      <w:pPr>
        <w:jc w:val="both"/>
      </w:pPr>
      <w:r>
        <w:t xml:space="preserve">Struktura prihoda je sljedeća:</w:t>
      </w:r>
    </w:p>
    <w:p>
      <w:r>
        <w:t xml:space="preserve">– Prihodi od smještaja 772.556,97 EUR</w:t>
      </w:r>
      <w:r>
        <w:br/>
      </w:r>
      <w:r>
        <w:t xml:space="preserve">– Prihodi Pomoć u kući 380.946,37 EUR</w:t>
      </w:r>
      <w:r>
        <w:br/>
      </w:r>
      <w:r>
        <w:t xml:space="preserve">– Ostali prihodi za sufinanciranje usluga 8.100,00 EUR (financijska podršku nadležnog Ministarstva za smanjenje utjecaja porasta cijena energenata na pružatelje socijalnih usluga u RH)</w:t>
      </w:r>
      <w:r>
        <w:br/>
      </w:r>
      <w:r>
        <w:t xml:space="preserve">– Naknada za osobne potrebe korisnika 5.313,43 EUR</w:t>
      </w:r>
      <w:r>
        <w:br/>
      </w:r>
      <w:r>
        <w:t xml:space="preserve">– Prihodi na temelju refundacija iz prethodnih godina 7.880,13 EUR</w:t>
      </w:r>
      <w:r>
        <w:br/>
      </w:r>
      <w:r>
        <w:t xml:space="preserve">– Prihodi s naslova osiguranja, refundacije štete i totalne štete 519,21 EUR (isplate iz osiguranja temeljem štete na automobilima)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1.449.120,85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1.325.060,55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Prihodi iz nadležnog proračuna za financiranje redovne djelatnosti manji su za 8,9% i odnosu na prethodnu godinu, odnosno za 124.060,30 EUR.</w:t>
      </w:r>
    </w:p>
    <w:p>
      <w:pPr>
        <w:jc w:val="both"/>
      </w:pPr>
      <w:r>
        <w:t xml:space="preserve">Čine ih decentralizirana sredstva primljena od Splitsko-dalmatinske županije sukladno Odluci o kriterijima, mjerilima i načinu financiranja domova za starije i nemoćne osobe u Splitsko-dalmatinskoj županiji u 2025. godini te primici iz Matičnih sredstava Županije:</w:t>
      </w:r>
    </w:p>
    <w:tbl>
      <w:tblPr>
        <w:tblStyle w:val="TableGrid"/>
        <w:tblW w:w="2464.455" w:type="pct"/>
      </w:tblPr>
      <w:tblGrid>
        <w:gridCol w:w="3557"/>
        <w:gridCol w:w="1888"/>
        <w:gridCol w:w="1888"/>
        <w:gridCol w:w="2291"/>
      </w:tblGrid>
      <w:tr>
        <w:trPr>
          <w:trHeight w:val="992" w:hRule="atLeast"/>
        </w:trPr>
        <w:tc>
          <w:tcPr>
            <w:tcW w:w="1847" w:type="pct"/>
            <w:vAlign w:val="center"/>
          </w:tcPr>
          <w:p>
            <w:pPr>
              <w:keepNext/>
              <w:jc w:val="center"/>
            </w:pPr>
            <w:r>
              <w:t xml:space="preserve">Račun 671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center"/>
            </w:pPr>
            <w:r>
              <w:t xml:space="preserve">2024.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center"/>
            </w:pPr>
            <w:r>
              <w:t xml:space="preserve">2025.</w:t>
            </w:r>
          </w:p>
        </w:tc>
        <w:tc>
          <w:tcPr>
            <w:tcW w:w="1190" w:type="pct"/>
            <w:vAlign w:val="center"/>
          </w:tcPr>
          <w:p>
            <w:pPr>
              <w:keepNext/>
              <w:jc w:val="center"/>
            </w:pPr>
            <w:r>
              <w:t xml:space="preserve">Indeks 2025/2024</w:t>
            </w:r>
          </w:p>
        </w:tc>
      </w:tr>
      <w:tr>
        <w:trPr>
          <w:trHeight w:val="878" w:hRule="atLeast"/>
        </w:trPr>
        <w:tc>
          <w:tcPr>
            <w:tcW w:w="1847" w:type="pct"/>
            <w:vAlign w:val="center"/>
          </w:tcPr>
          <w:p>
            <w:r>
              <w:t xml:space="preserve">Decentralizirana sredstva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right"/>
            </w:pPr>
            <w:r>
              <w:t xml:space="preserve">639.805,00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right"/>
            </w:pPr>
            <w:r>
              <w:t xml:space="preserve">639.805,00</w:t>
            </w:r>
          </w:p>
        </w:tc>
        <w:tc>
          <w:tcPr>
            <w:tcW w:w="1190" w:type="pct"/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>
          <w:trHeight w:val="878" w:hRule="atLeast"/>
        </w:trPr>
        <w:tc>
          <w:tcPr>
            <w:tcW w:w="1847" w:type="pct"/>
            <w:vAlign w:val="center"/>
          </w:tcPr>
          <w:p>
            <w:r>
              <w:t xml:space="preserve">Matična sredstva Županije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right"/>
            </w:pPr>
            <w:r>
              <w:t xml:space="preserve">809.315,85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right"/>
            </w:pPr>
            <w:r>
              <w:t xml:space="preserve">685.255,55</w:t>
            </w:r>
          </w:p>
        </w:tc>
        <w:tc>
          <w:tcPr>
            <w:tcW w:w="1190" w:type="pct"/>
            <w:vAlign w:val="center"/>
          </w:tcPr>
          <w:p>
            <w:pPr>
              <w:keepNext/>
              <w:jc w:val="right"/>
            </w:pPr>
            <w:r>
              <w:t xml:space="preserve">84,67</w:t>
            </w:r>
          </w:p>
        </w:tc>
      </w:tr>
      <w:tr>
        <w:trPr>
          <w:trHeight w:val="542" w:hRule="atLeast"/>
        </w:trPr>
        <w:tc>
          <w:tcPr>
            <w:tcW w:w="1847" w:type="pct"/>
            <w:vAlign w:val="center"/>
          </w:tcPr>
          <w:p>
            <w:r>
              <w:t xml:space="preserve">UKUPNO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right"/>
            </w:pPr>
            <w:r>
              <w:t xml:space="preserve">1.449.120,85</w:t>
            </w:r>
          </w:p>
        </w:tc>
        <w:tc>
          <w:tcPr>
            <w:tcW w:w="980" w:type="pct"/>
            <w:vAlign w:val="center"/>
          </w:tcPr>
          <w:p>
            <w:pPr>
              <w:keepNext/>
              <w:jc w:val="right"/>
            </w:pPr>
            <w:r>
              <w:t xml:space="preserve">1.325.060,55</w:t>
            </w:r>
          </w:p>
        </w:tc>
        <w:tc>
          <w:tcPr>
            <w:tcW w:w="1190" w:type="pct"/>
            <w:vAlign w:val="center"/>
          </w:tcPr>
          <w:p>
            <w:pPr>
              <w:keepNext/>
              <w:jc w:val="right"/>
            </w:pPr>
            <w:r>
              <w:t xml:space="preserve">91,40</w:t>
            </w:r>
          </w:p>
        </w:tc>
      </w:tr>
    </w:tbl>
    <w:p>
      <w:r>
        <w:t xml:space="preserve"> </w:t>
      </w:r>
    </w:p>
    <w:p>
      <w:r>
        <w:rPr>
          <w:b/>
        </w:rPr>
        <w:t xml:space="preserve">Decentralizirana sredstva čine:</w:t>
      </w:r>
    </w:p>
    <w:p>
      <w:r>
        <w:t xml:space="preserve">- Prihodi iz nadležnog proračuna za financiranje rashoda poslovanja koji iznose 607.952,00 € te se nisu povećavali u odnosu na prethodnu godinu,</w:t>
      </w:r>
    </w:p>
    <w:p>
      <w:r>
        <w:t xml:space="preserve">- Prihodi iz nadležnog proračuna za financiranje rashoda za nefinancijsku imovinu i hitne intervencije u iznosu od 31.853,00 € i nisu se povećavali u odnosu na prethodnu godinu.</w:t>
      </w:r>
    </w:p>
    <w:p>
      <w:r>
        <w:rPr>
          <w:b/>
        </w:rPr>
        <w:t xml:space="preserve">Matična sredstva Županije</w:t>
      </w:r>
    </w:p>
    <w:p>
      <w:r>
        <w:t xml:space="preserve">Matična sredstava Županije primljena u iznosu od 685.255,55 € manja su za 15,33% odnosno za 124.060,30 € u odnosu na prethodnu godinu.</w:t>
      </w:r>
    </w:p>
    <w:p>
      <w:pPr>
        <w:jc w:val="both"/>
      </w:pPr>
      <w:r>
        <w:t xml:space="preserve">Osiguravanjem dodatnih sredstava u prethodnoj 2024. godini Županija je svojim matičnim sredstvima omogućila Domu ispunjavanje uvjeta Pravilnika o mjerilima za pružanje socijalnih usluga. Uveden je sustav za dojavu požara, a adaptacijom I. kata Doma osigurani su traženi uvjeti prilagodbe prostora i opreme, a za pružanje usluga osobama oboljelim od Alzheimerove demencije i drugih demencija. Stoga su i sredstva doznačena za financiranje rashoda za nabavu nefinancijske imovine manja u 2025. godini za 94.444,70 EUR, dok su prihodi za financiranje rashoda poslovanja manji za 29.615,60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2.281.165,17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2.511.542,17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110,1</w:t>
            </w:r>
          </w:p>
        </w:tc>
      </w:tr>
    </w:tbl>
    <w:p>
      <w:pPr>
        <w:spacing w:before="0" w:after="0"/>
      </w:pPr>
    </w:p>
    <w:p>
      <w:r>
        <w:t xml:space="preserve">Za razdoblje od 01.01.2025.-31.12.2025. rashodi poslovanja (razred 3) iznose 2.511.542,17 EUR i veći su od ostvarenih u 2024. godini za 10,1 %, odnosno 230.377,00 EUR. Najveće povećanje rashoda, apsolutno i relativno, odnosi se na rashode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1.828.052,07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2.045.296,49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111,9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zaposlene iznose 2.045.296,49 EUR i povećani su za 11,9 % u odnosu na 2024. godinu tj. za 217.244,42 EUR. </w:t>
      </w:r>
    </w:p>
    <w:p>
      <w:pPr>
        <w:jc w:val="both"/>
      </w:pPr>
      <w:r>
        <w:t xml:space="preserve">Porast rashoda za zaposlene uzrokovan je reformom plaće u javnim i državnim službama, odnosno stupanjem na snagu novog Zakona o plaćama i nove Uredbe o koeficijentima 1. ožujka 2024. godine, nakon čega je rast plaća dodatno je nastavljen i u 2025. godini. Osnovica za obračun plaća rasla je u 2 navrata tijekom godine, i to od 1. veljače 2025. za 3 % te od 1. rujna 2025. za dodatnih 3%. Uz navedeno, od 01. listopada 2025. djelatnici Odjela zdravstvene i pojačane njege rade u turnusima, što je uz raznolikiji smjenski rad te dodatak za rad u turnusu, dodatno uvećalo rashode za zaposlene.</w:t>
      </w:r>
    </w:p>
    <w:p>
      <w:r>
        <w:rPr>
          <w:b/>
        </w:rPr>
        <w:t xml:space="preserve">Broj stalno zaposlenih radnika na dan 31.12.2025. je ukupno 75:</w:t>
      </w:r>
    </w:p>
    <w:p>
      <w:pPr>
        <w:pStyle w:val="ListParagraph"/>
        <w:numPr>
          <w:ilvl w:val="0"/>
          <w:numId w:val="2"/>
        </w:numPr>
      </w:pPr>
      <w:r>
        <w:t xml:space="preserve">Institucionalna skrb (Smještaj) 52</w:t>
      </w:r>
    </w:p>
    <w:p>
      <w:pPr>
        <w:pStyle w:val="ListParagraph"/>
        <w:numPr>
          <w:ilvl w:val="0"/>
          <w:numId w:val="2"/>
        </w:numPr>
      </w:pPr>
      <w:r>
        <w:t xml:space="preserve">Izvaninstitucionalna skrb (Pomoć u kući) 17</w:t>
      </w:r>
    </w:p>
    <w:p>
      <w:pPr>
        <w:pStyle w:val="ListParagraph"/>
        <w:numPr>
          <w:ilvl w:val="0"/>
          <w:numId w:val="2"/>
        </w:numPr>
      </w:pPr>
      <w:r>
        <w:t xml:space="preserve">Zajednički poslovi: Ravnateljica, Socijalna radnica, Računovodstvo i Nabava 6</w:t>
      </w:r>
      <w:r>
        <w:br/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441.880,53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455.707,92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103,1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Materijalni rashodi iznose 455.707,92 EUR i veći su za 3,1%, odnosno 13.827,39 EUR u odnosu na prethodnu godinu. U proteklih nekoliko godina kretanje materijalnih rashoda bilo je stabilno, međutim inflacija kao i nestabilnost cijena u ugovorima sa dobavljačima utjecali su na porast dijela materijalnih troškova. U pojedinim stavkama Dom bilježi i smanjenje rashoda: sitan inventar, usluge tekućeg i investicijskog održavanja, zdravstvene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46.605,04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50.609,27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108,6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Naknade troškova zaposlenima veće su za 8,6 % odnosno za 4.004,23 EUR. Riječ je o troškovima prijevoza na posao i s posla, a njihov porast rezultat je povećanja broja djelatnika sa stanovanjem izvan grada Splita što je povećalo visinu naknade troškova prijevoza po prijeđenom kilometru.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275.555,89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290.262,26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materijal i energiju veći su za 5,3% odnosno za 14.706,37 EUR, a rezultat je povećanje cijena u sklopljenim ugovorima za javnu i jednostavnu nabavu. Također, povećava se postupno i broj predmeta nabave koji prelaze prag za ulazak u sustav javne nabave; u 2025. godini to su svježe meso, svježe voće i povrće te električna energija.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1.289,31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5.082,64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394,2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Materijal i dijelovi za tekuće i investicijsko održavanje povećani su za 294,2 % u odnosu na prethodnu godinu, odnosno 3.793,33 EUR. Rezultat ovakvog većeg povećanja je najvećim dijelom kupnja materijala za uređenje parka (zemlja, sadnice cvijeća, stabala i živice), koje je bilo nužno nakon vremenskih nepogoda u srpnju 2025. godine koje pogodilo okoliš i vrt Doma.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5.697,92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8.873,52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155,7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Iako su Rashodi za usluge u ukupnom iznosu blago niži u odnosu na prethodnu godinu, Intelektualne i osobne usluge veće su za 55,70% odnosno za 3.175,60 EUR radi povećanja usluge studentskog servisa, odnosno rada studenta na radnom mjestu Zdravstvenog radnika za koje ima odgovarajuće srednjoškolsko obrazovanje.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4.538,10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4.984,10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109,8</w:t>
            </w:r>
          </w:p>
        </w:tc>
      </w:tr>
    </w:tbl>
    <w:p>
      <w:pPr>
        <w:spacing w:before="0" w:after="0"/>
      </w:pPr>
    </w:p>
    <w:p>
      <w:r>
        <w:t xml:space="preserve">Financijski rashodi porasli su za 9,8% odnosno za 446,00 EUR što je rezultat povećanja cijena naknade banaka.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179.626,27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77.806,30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43,3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Rashodi za nabavu nefinancijske imovine iznose 77.806,30 EUR i manji su za 56,70% odnosno 101.819,97 EUR u odnosu na 2024. godinu. Kako je već prethodno rečeno, ulaganja u nefinancijsku imovine ove godine su manja u odnosu na prethodnu 2024. kada su ulaganja bila povećana radi adaptacije dijela Doma. </w:t>
      </w:r>
    </w:p>
    <w:p>
      <w:r>
        <w:t xml:space="preserve">Najveće rashode za nabavu nefinancijske imovine čine:</w:t>
      </w:r>
    </w:p>
    <w:p>
      <w:pPr>
        <w:jc w:val="both"/>
      </w:pPr>
      <w:r>
        <w:t xml:space="preserve">- 30.693,75 € preostali građevinski radovi adaptacije I. kata u svrhu prilagodbe uvjeta za pružanje usluga osobama oboljelim od Alzheimerove demencije i drugih demencija (Izvor: Matična sredstva Županije)</w:t>
      </w:r>
    </w:p>
    <w:p>
      <w:pPr>
        <w:jc w:val="both"/>
      </w:pPr>
      <w:r>
        <w:t xml:space="preserve">- 3.714,50 € ugradnja komarica u sobe korisnika na 4. katu (Izvor: Pomoći)</w:t>
      </w:r>
    </w:p>
    <w:p>
      <w:pPr>
        <w:jc w:val="both"/>
      </w:pPr>
      <w:r>
        <w:t xml:space="preserve">- Nabava 7 električnih kreveta za njegu bolesnika u iznosu od 12.836,25 € (Izvor: Pomoći)</w:t>
      </w:r>
    </w:p>
    <w:p>
      <w:pPr>
        <w:jc w:val="both"/>
      </w:pPr>
      <w:r>
        <w:t xml:space="preserve">-Izrada i montaža kuhinje na 1. i 3. katu Doma, ormara za pohranu posteljnog programa, higijenskih i toaletnih potrepština za svaki kat te 9 novih stolova za sobe korisnika za I. kat u iznosu od 12.598,50 EUR (Izvor: Decetralizirana sredstva, Pomoći) </w:t>
      </w:r>
    </w:p>
    <w:p>
      <w:pPr>
        <w:jc w:val="both"/>
      </w:pPr>
      <w:r>
        <w:t xml:space="preserve">Ostatak iznosa utrošen je u opremu za razne namjene; kolica servirna za kuhinju, računalo, televizori za sobe korisnika, namještaj za dnevni boravak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64.738,93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Manjak prihoda i primitaka za pokriće u sljedećem razdoblju Doma Lovret za 2025. godinu iznosi 64.738,93 € po izvoru financiranja 43 – Prihodi za posebne namjene.</w:t>
      </w:r>
    </w:p>
    <w:p>
      <w:pPr>
        <w:jc w:val="both"/>
      </w:pPr>
      <w:r>
        <w:t xml:space="preserve">Dio ostvarenog manjka je tzv. metodološki manjak u iznosu od 20.374,97 € koji je nastao propuštenom uplatom nadležnog Ministarstva za mjesec studeni, a za koje je dospijeće bilo u prosincu 2025. godine. Riječ je o uslugama smještaja i pomoći u kući za korisnike Doma koji su smješteni ili primaju usluge sukladno Rješenju/Uputnici Hrvatskog zavoda za socijalni rad. To je utjecalo na smanjenu realizaciju planiranih Prihoda za posebne namjene.</w:t>
      </w:r>
    </w:p>
    <w:p>
      <w:pPr>
        <w:jc w:val="both"/>
      </w:pPr>
      <w:r>
        <w:t xml:space="preserve">Preostali manjak prihoda i primitaka za pokriće u sljedećem razdoblju u iznosu od 44.363,96 EUR rezultat je veće realizacije rashoda za zaposlene u odnosu na planirane prihode.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682.834,38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724.784,50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</w:tbl>
    <w:p>
      <w:pPr>
        <w:spacing w:before="0" w:after="0"/>
      </w:pPr>
    </w:p>
    <w:p>
      <w:r>
        <w:t xml:space="preserve">Promjene i stanje nefinancijske imovine detaljno su prikazane u sljedećoj tablici:</w:t>
      </w:r>
    </w:p>
    <w:tbl>
      <w:tblPr>
        <w:tblStyle w:val="TableGrid"/>
        <w:tblW w:w="4478.6" w:type="pct"/>
      </w:tblPr>
      <w:tblGrid>
        <w:gridCol w:w="3025"/>
        <w:gridCol w:w="1163"/>
        <w:gridCol w:w="1172"/>
        <w:gridCol w:w="1168"/>
        <w:gridCol w:w="1651"/>
        <w:gridCol w:w="1445"/>
      </w:tblGrid>
      <w:tr>
        <w:trPr>
          <w:trHeight w:val="878" w:hRule="atLeast"/>
        </w:trPr>
        <w:tc>
          <w:tcPr>
            <w:tcW w:w="1571" w:type="pct"/>
            <w:vAlign w:val="center"/>
          </w:tcPr>
          <w:p>
            <w:r>
              <w:rPr>
                <w:b/>
              </w:rPr>
              <w:t xml:space="preserve">OPIS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Stanje na dan 01.01.2025.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Povećanje tijekom 2025.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Smanjenje tijekom 2025.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Ispravak vrijednosti na dan 31.12.2025.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center"/>
            </w:pPr>
            <w:r>
              <w:rPr>
                <w:b/>
              </w:rPr>
              <w:t xml:space="preserve">Stanje na dan 31.12.2025.</w:t>
            </w:r>
          </w:p>
        </w:tc>
      </w:tr>
      <w:tr>
        <w:trPr>
          <w:trHeight w:val="527" w:hRule="atLeast"/>
        </w:trPr>
        <w:tc>
          <w:tcPr>
            <w:tcW w:w="1571" w:type="pct"/>
            <w:vAlign w:val="center"/>
          </w:tcPr>
          <w:p>
            <w:r>
              <w:t xml:space="preserve">Nematerijalna imovina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t xml:space="preserve">1.512.345,33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34.408,25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944.877,17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601.876,41</w:t>
            </w:r>
          </w:p>
        </w:tc>
      </w:tr>
      <w:tr>
        <w:trPr>
          <w:trHeight w:val="542" w:hRule="atLeast"/>
        </w:trPr>
        <w:tc>
          <w:tcPr>
            <w:tcW w:w="1571" w:type="pct"/>
            <w:vAlign w:val="center"/>
          </w:tcPr>
          <w:p>
            <w:r>
              <w:t xml:space="preserve">Postrojenja i oprema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t xml:space="preserve">551.261,16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43.398,05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38.519,29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447.857,56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108.282,36</w:t>
            </w:r>
          </w:p>
        </w:tc>
      </w:tr>
      <w:tr>
        <w:trPr>
          <w:trHeight w:val="542" w:hRule="atLeast"/>
        </w:trPr>
        <w:tc>
          <w:tcPr>
            <w:tcW w:w="1571" w:type="pct"/>
            <w:vAlign w:val="center"/>
          </w:tcPr>
          <w:p>
            <w:r>
              <w:t xml:space="preserve">Prijevozna sredstva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t xml:space="preserve">91.330,91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91.330,91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>
          <w:trHeight w:val="878" w:hRule="atLeast"/>
        </w:trPr>
        <w:tc>
          <w:tcPr>
            <w:tcW w:w="1571" w:type="pct"/>
            <w:vAlign w:val="center"/>
          </w:tcPr>
          <w:p>
            <w:r>
              <w:t xml:space="preserve">Knjige, umjetnička djela i ostale izložbene vrij.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br/>
            </w:r>
            <w:r>
              <w:t xml:space="preserve">2.008,76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2.008,76</w:t>
            </w:r>
          </w:p>
        </w:tc>
      </w:tr>
      <w:tr>
        <w:trPr>
          <w:trHeight w:val="878" w:hRule="atLeast"/>
        </w:trPr>
        <w:tc>
          <w:tcPr>
            <w:tcW w:w="1571" w:type="pct"/>
            <w:vAlign w:val="center"/>
          </w:tcPr>
          <w:p>
            <w:r>
              <w:t xml:space="preserve">Nematerijalna proizvedena imovine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t xml:space="preserve">8.583,15</w:t>
            </w:r>
            <w:r>
              <w:br/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5.019,09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3.564,06</w:t>
            </w:r>
          </w:p>
        </w:tc>
      </w:tr>
      <w:tr>
        <w:trPr>
          <w:trHeight w:val="542" w:hRule="atLeast"/>
        </w:trPr>
        <w:tc>
          <w:tcPr>
            <w:tcW w:w="1571" w:type="pct"/>
            <w:vAlign w:val="center"/>
          </w:tcPr>
          <w:p>
            <w:r>
              <w:t xml:space="preserve">Zalihe sitnog inventara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t xml:space="preserve">8.979,36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4.668,42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4.594,87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9.052,91</w:t>
            </w:r>
          </w:p>
        </w:tc>
      </w:tr>
      <w:tr>
        <w:trPr>
          <w:trHeight w:val="542" w:hRule="atLeast"/>
        </w:trPr>
        <w:tc>
          <w:tcPr>
            <w:tcW w:w="1571" w:type="pct"/>
            <w:vAlign w:val="center"/>
          </w:tcPr>
          <w:p>
            <w:r>
              <w:t xml:space="preserve">Sitni inventar u upotrebi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t xml:space="preserve">92.367,25 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t xml:space="preserve">4.594,87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t xml:space="preserve">96.962,12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t xml:space="preserve">0,00</w:t>
            </w:r>
          </w:p>
        </w:tc>
      </w:tr>
      <w:tr>
        <w:trPr>
          <w:trHeight w:val="542" w:hRule="atLeast"/>
        </w:trPr>
        <w:tc>
          <w:tcPr>
            <w:tcW w:w="1571" w:type="pct"/>
            <w:vAlign w:val="center"/>
          </w:tcPr>
          <w:p>
            <w:r>
              <w:rPr>
                <w:b/>
              </w:rPr>
              <w:t xml:space="preserve">UKUPNO</w:t>
            </w:r>
          </w:p>
        </w:tc>
        <w:tc>
          <w:tcPr>
            <w:tcW w:w="603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2.266.875,92 </w:t>
            </w:r>
          </w:p>
        </w:tc>
        <w:tc>
          <w:tcPr>
            <w:tcW w:w="608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87.069,59</w:t>
            </w:r>
          </w:p>
        </w:tc>
        <w:tc>
          <w:tcPr>
            <w:tcW w:w="606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43.114,16</w:t>
            </w:r>
            <w:r>
              <w:rPr>
                <w:b/>
              </w:rPr>
            </w:r>
          </w:p>
        </w:tc>
        <w:tc>
          <w:tcPr>
            <w:tcW w:w="857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1.586.046,85</w:t>
            </w:r>
          </w:p>
        </w:tc>
        <w:tc>
          <w:tcPr>
            <w:tcW w:w="750" w:type="pct"/>
            <w:vAlign w:val="center"/>
          </w:tcPr>
          <w:p>
            <w:pPr>
              <w:keepNext/>
              <w:jc w:val="right"/>
            </w:pPr>
            <w:r>
              <w:rPr>
                <w:b/>
              </w:rPr>
              <w:t xml:space="preserve">724.784,50</w:t>
            </w:r>
          </w:p>
        </w:tc>
      </w:tr>
    </w:tbl>
    <w:p>
      <w:pPr>
        <w:jc w:val="right"/>
      </w:pPr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35.984,17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60.738,46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168,8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Potraživanja po posebnim propisima veća su za 68,8% u odnosu na isti dan prethodne godine, radi povećanih dospjelih, a nenaplaćenih potraživanja od nadležnog Ministarstva. Prikazana potraživanja od 60.738,46 EUR odnose se na nedospjela potraživanja za usluge za mjesec prosinac 2025. godine u iznosu od 39.608,41 EUR, a iznos od 21.130,05 EUR na dospjela potraživanja za usluge za mjesec listopad i studeni 2025.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270.171,03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222.677,87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82,4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strukturi obveza na dan 31.12.2025. u odnosu na isti datum prethodne godine, obveze su manje za 17,6 %, odnosno za 47.493,16 EUR. Na manje obveze utjecalo je smanjenje obveza za nefinancijsku imovinu kojih u usporedbi s prethodnom godinom nema, kao i smanjenje obveze za povrat Fondu za zaštitu okoliša.</w:t>
      </w:r>
    </w:p>
    <w:p>
      <w:pPr>
        <w:jc w:val="both"/>
      </w:pPr>
      <w:r>
        <w:t xml:space="preserve">Jedino su Obveze za plaću veće za 15,1 % u odnosu na prethodnu godinu, a riječ je o plaći za prosinac 2025. godine.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Starost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2.460.791,44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2.589.348,47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105,2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Obrazac RAS – funkcijski za razdoblje od 01. siječnja do 31. prosinca 2025. godine popunjen je ostvarenim iznosima rashoda sa obrasca PR–RAS. Ostvareni rashodi u iznosu od 2.589.348,47 EUR su raspoređeni prema funkcijskoj klasifikaciji u obrascu na 102 – Starost sukladno Pravilniku o proračunskim klasifikacijama.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35.918,72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U obrazac P-VRIO kao smjenjenje unesen je iznos ispravka vrijednosti dugotrajne nefinancijske imovine u iznosu od 35.918,72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Do promjene u obujmu Proizvedene dugotrajne imovine došlo je do smanjenja radi evidentiranja isknjiženja imovine za koju u potpunosti nije proveden ispravak vrijednosti u iznosu od 11,01 EUR.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</w:pPr>
      <w:r>
        <w:t xml:space="preserve">Stanje obveza na kraju izvještajnog razdoblja iznosi 222.677,87 €. Navedene obveze su sve nedospjele, stoga Dom nema dospjelih obveza na dan 31.12.2025. godine.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c3bc6636c492e" /><Relationship Type="http://schemas.openxmlformats.org/officeDocument/2006/relationships/numbering" Target="/word/numbering.xml" Id="Re16b8faa46a44ba0" /></Relationships>
</file>